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4E41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毕业设计（论文）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查重检测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评阅环节等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eastAsia="zh-CN"/>
        </w:rPr>
        <w:t>工作安排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的通知</w:t>
      </w:r>
    </w:p>
    <w:p w14:paraId="6D2D3F8B"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根据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关于做好202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届本科毕业生毕业设计(论文）过程管理相关工作的通知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》（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齐鲁工大鲁科院教字〔202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〕0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号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）要求，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毕业设计（论文）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将要启动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查重检测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评阅环节等工作。现将相关工作流程操作以及要求补充如下：</w:t>
      </w:r>
    </w:p>
    <w:p w14:paraId="6A23782B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查重检测</w:t>
      </w:r>
    </w:p>
    <w:p w14:paraId="1999BD45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各学部（学院）应充分重视学生学术能力培养和学术诚信品质养成教育，杜绝毕业设计（论文）过程中弄虚作假、抄袭、剽窃、伪造、篡改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、代写、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买卖毕业设计（论文）等学术不端现象的发生。一经发现学术不端行为的，将根据学校相关文件进行处理。2025届毕业设计（论文）查重检测的要求如下：</w:t>
      </w:r>
    </w:p>
    <w:p w14:paraId="1D4982B8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（一）时间节点</w:t>
      </w:r>
    </w:p>
    <w:p w14:paraId="344D1635"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毕设系统内查重检测时间：2025.5.12-2025.5.18</w:t>
      </w:r>
    </w:p>
    <w:p w14:paraId="6FC1F23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注意：1.学部（学院）可适当调整时间（在毕设系统设置时间），务必在评阅环节开始前完成查重；2.校级抽检的论文务必在报送论文前完成查重。</w:t>
      </w:r>
    </w:p>
    <w:p w14:paraId="295DB5D0">
      <w:pPr>
        <w:numPr>
          <w:ilvl w:val="0"/>
          <w:numId w:val="2"/>
        </w:numPr>
        <w:ind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查重检测要求</w:t>
      </w:r>
    </w:p>
    <w:p w14:paraId="6A22ACCA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查重检测要求按照《毕业设计（论文）工作管理规定》以及《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届本科毕业生毕业设计(论文）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过程管理相关工作通知》要求进行。对于一次查重检测结果不合格的本科毕业设计（论文），学生须进行修改完善且进行二次查重，查重结果合格后方可参与答辩；二次查重后仍不达标的本科毕业设计（论文），由学院答辩委员会决定延期答辩或给予不及格处理。首次查重不合格，经修改并通过答辩的毕业设计（论文）成绩不能超过90分。</w:t>
      </w:r>
    </w:p>
    <w:p w14:paraId="78D99229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（三）相关操作说明</w:t>
      </w:r>
    </w:p>
    <w:p w14:paraId="60CFCD5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学生在“提交毕业论文（设计）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”模块进行提交查重，提交前一定确认系统内的毕业设计（论文）题目和提交查重的设计（论文）原文中的题目保持一致再提交。指导教师进行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提交查重版本是否正确，系统题目和原文题目是否一致等方面的审核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，审核通过的自动进行查重检测。</w:t>
      </w:r>
    </w:p>
    <w:p w14:paraId="1BA1C467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 为了更好的掌握管理首次查重结果，系统设置先赋予每位学生一次查重权限，全部学生可以进行首次查重。如果首次查重大于30%的，教学秘书账户可以赋予相应需要二次查重学生第二次查重权限，教秘账号具体操作说明在系统内“通知公告”模块下，“教学秘书简易使用手册</w:t>
      </w:r>
      <w:bookmarkStart w:id="0" w:name="_Toc23112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（3.1.3论文超权限提交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）。</w:t>
      </w:r>
    </w:p>
    <w:p w14:paraId="2A7CB2C6">
      <w:pPr>
        <w:numPr>
          <w:ilvl w:val="0"/>
          <w:numId w:val="1"/>
        </w:numPr>
        <w:ind w:firstLine="56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评阅环节</w:t>
      </w:r>
    </w:p>
    <w:p w14:paraId="630F26D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按校（院）通知要求，评阅环节的时间为：2025.5.19-2025.6.2</w:t>
      </w:r>
    </w:p>
    <w:p w14:paraId="6408B1C8"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注意：评阅环节包含指导教师评阅和同行评阅人评阅两个环节，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学部（学院）可适当调整时间，务必在查重检测后及答辩前完成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62DD4785">
      <w:pPr>
        <w:numPr>
          <w:ilvl w:val="0"/>
          <w:numId w:val="3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指导教师评阅流程</w:t>
      </w:r>
    </w:p>
    <w:p w14:paraId="041F9C5C"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指导教师应在学部（学院）规定的时间内登录毕设管理系统，给出指导教师评阅成绩和不少于100字的评语。指导教师评阅在“评审答辩和成绩管理”模块，点击“导师评阅学生”进行毕业设计（论文）的评阅。具体操作详见指导教师操作手册（3.1导师评阅学生）。</w:t>
      </w:r>
    </w:p>
    <w:p w14:paraId="1B9F227E">
      <w:pPr>
        <w:numPr>
          <w:ilvl w:val="0"/>
          <w:numId w:val="3"/>
        </w:numPr>
        <w:ind w:firstLine="56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同行评阅人评阅</w:t>
      </w:r>
    </w:p>
    <w:p w14:paraId="2DE43230"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同行评阅人评阅应在学部（学院）规定的时间内，由同行评阅人登录毕设管理系统，对被分配的毕业设计（论文）进行评阅，给出同行评阅成绩和不少于100字的评语。</w:t>
      </w:r>
    </w:p>
    <w:p w14:paraId="212BB3E7"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注意事项：</w:t>
      </w:r>
    </w:p>
    <w:p w14:paraId="5F4C3CCF">
      <w:pPr>
        <w:numPr>
          <w:ilvl w:val="0"/>
          <w:numId w:val="4"/>
        </w:numPr>
        <w:ind w:firstLine="56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同行评阅的设计（论文）链接的学生在“毕业论文（设计）模块”提交的查重版论文，若毕业设计（论文）有附件务必要在此模块提交原文的同时提交相应附件资料（附件不计查重结果），以便同行评阅老师评阅完整论文。</w:t>
      </w:r>
    </w:p>
    <w:p w14:paraId="4EF6899B">
      <w:pPr>
        <w:numPr>
          <w:ilvl w:val="0"/>
          <w:numId w:val="4"/>
        </w:numPr>
        <w:ind w:firstLine="56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教学秘书或系主任需在毕设系统内分配“同行评阅专家”，详细操作流程见系统内“教学秘书简易使用手册（4.1同行评阅环节）”和“操作视频（分配同行评阅人）”。</w:t>
      </w:r>
    </w:p>
    <w:p w14:paraId="5E464852">
      <w:pPr>
        <w:numPr>
          <w:ilvl w:val="0"/>
          <w:numId w:val="4"/>
        </w:numPr>
        <w:ind w:firstLine="56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同行评阅人如果是校外专家，系统内没有账号的需要新建立的评阅专家账号，请填写附件2在分配同行评阅人前报予实践科进行账号建立。</w:t>
      </w:r>
    </w:p>
    <w:p w14:paraId="2E717F4C">
      <w:pPr>
        <w:numPr>
          <w:ilvl w:val="0"/>
          <w:numId w:val="4"/>
        </w:numPr>
        <w:ind w:firstLine="56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教学秘书或系主任分配好设计（论文）的同行评阅人后，同行评阅人可登录毕设管理系统进行同行评阅，需选择“评阅专家”角色进入，在“评审答辩和成绩管理”模块，点击“评阅学生”进行毕业设计（论文）评阅。</w:t>
      </w:r>
    </w:p>
    <w:p w14:paraId="5AE2AFB3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DD031FA1-8459-4F2F-8C30-93E70497FF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A0B9FC-1DBD-4773-961C-C45E082C16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F576E"/>
    <w:multiLevelType w:val="singleLevel"/>
    <w:tmpl w:val="97FF57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9E0990"/>
    <w:multiLevelType w:val="singleLevel"/>
    <w:tmpl w:val="AA9E0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FD8817"/>
    <w:multiLevelType w:val="singleLevel"/>
    <w:tmpl w:val="48FD881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7771FFB"/>
    <w:multiLevelType w:val="singleLevel"/>
    <w:tmpl w:val="57771FF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ZiZDViOTQ2OTQ1ZDkwOWQ1Y2IyMjIxNDM3ODQifQ=="/>
  </w:docVars>
  <w:rsids>
    <w:rsidRoot w:val="00000000"/>
    <w:rsid w:val="06F56F5B"/>
    <w:rsid w:val="0DD24882"/>
    <w:rsid w:val="18840C4B"/>
    <w:rsid w:val="20103393"/>
    <w:rsid w:val="20B41BE3"/>
    <w:rsid w:val="224477FA"/>
    <w:rsid w:val="26351356"/>
    <w:rsid w:val="3BE93F24"/>
    <w:rsid w:val="46CB1ADA"/>
    <w:rsid w:val="46E458DC"/>
    <w:rsid w:val="5F660FE1"/>
    <w:rsid w:val="785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E386B" w:themeColor="accent1" w:themeShade="80"/>
      <w:sz w:val="24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2003</Words>
  <Characters>2163</Characters>
  <Lines>0</Lines>
  <Paragraphs>0</Paragraphs>
  <TotalTime>16</TotalTime>
  <ScaleCrop>false</ScaleCrop>
  <LinksUpToDate>false</LinksUpToDate>
  <CharactersWithSpaces>2171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2024-04-23T13:22:00Z</dcterms:created>
  <dc:creator>wwd82</dc:creator>
  <cp:lastModifiedBy>暖心</cp:lastModifiedBy>
  <dcterms:modified xsi:type="dcterms:W3CDTF">2025-05-12T07:22:24Z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0AD7C03D37E443859DC2064E81C210AD_12</vt:lpwstr>
  </property>
  <property fmtid="{D5CDD505-2E9C-101B-9397-08002B2CF9AE}" pid="4" name="KSOTemplateDocerSaveRecord">
    <vt:lpwstr>eyJoZGlkIjoiMDg2NTZiZDViOTQ2OTQ1ZDkwOWQ1Y2IyMjIxNDM3ODQiLCJ1c2VySWQiOiI0NDg4MDkyMjIifQ==</vt:lpwstr>
  </property>
</Properties>
</file>